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5337BC" w14:textId="169BDBBF" w:rsidR="00E116A0" w:rsidRPr="00DE023F" w:rsidRDefault="00292D17" w:rsidP="009A784A">
      <w:pPr>
        <w:spacing w:after="0" w:line="480" w:lineRule="auto"/>
        <w:jc w:val="center"/>
        <w:rPr>
          <w:rFonts w:ascii="Times New Roman" w:eastAsia="Times New Roman" w:hAnsi="Times New Roman" w:cs="Times New Roman"/>
          <w:b/>
          <w:color w:val="000000"/>
          <w:sz w:val="24"/>
          <w:szCs w:val="24"/>
        </w:rPr>
      </w:pPr>
      <w:r w:rsidRPr="00DE023F">
        <w:rPr>
          <w:rFonts w:ascii="Times New Roman" w:eastAsia="Times New Roman" w:hAnsi="Times New Roman" w:cs="Times New Roman"/>
          <w:b/>
          <w:color w:val="000000"/>
          <w:sz w:val="24"/>
          <w:szCs w:val="24"/>
        </w:rPr>
        <w:t xml:space="preserve">Promoting </w:t>
      </w:r>
      <w:r w:rsidR="009A784A" w:rsidRPr="00DE023F">
        <w:rPr>
          <w:rFonts w:ascii="Times New Roman" w:eastAsia="Times New Roman" w:hAnsi="Times New Roman" w:cs="Times New Roman"/>
          <w:b/>
          <w:color w:val="000000"/>
          <w:sz w:val="24"/>
          <w:szCs w:val="24"/>
        </w:rPr>
        <w:t>Student Metacognition.</w:t>
      </w:r>
    </w:p>
    <w:p w14:paraId="098E1D76" w14:textId="0CD2B31E" w:rsidR="00292D17" w:rsidRDefault="00292D17" w:rsidP="009A784A">
      <w:pPr>
        <w:spacing w:after="0" w:line="480" w:lineRule="auto"/>
        <w:ind w:firstLine="720"/>
        <w:jc w:val="both"/>
        <w:rPr>
          <w:rFonts w:ascii="Times New Roman" w:eastAsia="Times New Roman" w:hAnsi="Times New Roman" w:cs="Times New Roman"/>
          <w:color w:val="000000"/>
          <w:sz w:val="24"/>
          <w:szCs w:val="24"/>
        </w:rPr>
      </w:pPr>
      <w:r w:rsidRPr="00292D17">
        <w:rPr>
          <w:rFonts w:ascii="Times New Roman" w:eastAsia="Times New Roman" w:hAnsi="Times New Roman" w:cs="Times New Roman"/>
          <w:color w:val="000000"/>
          <w:sz w:val="24"/>
          <w:szCs w:val="24"/>
        </w:rPr>
        <w:t xml:space="preserve">Metacognition can be defined as simply learning about one’s thinking. It is the process that is used </w:t>
      </w:r>
      <w:r>
        <w:rPr>
          <w:rFonts w:ascii="Times New Roman" w:eastAsia="Times New Roman" w:hAnsi="Times New Roman" w:cs="Times New Roman"/>
          <w:color w:val="000000"/>
          <w:sz w:val="24"/>
          <w:szCs w:val="24"/>
        </w:rPr>
        <w:t>i</w:t>
      </w:r>
      <w:r w:rsidRPr="00292D17">
        <w:rPr>
          <w:rFonts w:ascii="Times New Roman" w:eastAsia="Times New Roman" w:hAnsi="Times New Roman" w:cs="Times New Roman"/>
          <w:color w:val="000000"/>
          <w:sz w:val="24"/>
          <w:szCs w:val="24"/>
        </w:rPr>
        <w:t xml:space="preserve">n planning, assessing and monitoring one’s performance and understanding. In an article written by Tanner (2012) on promoting student metacognition, </w:t>
      </w:r>
      <w:r w:rsidR="00A85EAA">
        <w:rPr>
          <w:rFonts w:ascii="Times New Roman" w:eastAsia="Times New Roman" w:hAnsi="Times New Roman" w:cs="Times New Roman"/>
          <w:color w:val="000000"/>
          <w:sz w:val="24"/>
          <w:szCs w:val="24"/>
        </w:rPr>
        <w:t>I have interestingly learnt that t</w:t>
      </w:r>
      <w:r w:rsidRPr="00292D17">
        <w:rPr>
          <w:rFonts w:ascii="Times New Roman" w:eastAsia="Times New Roman" w:hAnsi="Times New Roman" w:cs="Times New Roman"/>
          <w:color w:val="000000"/>
          <w:sz w:val="24"/>
          <w:szCs w:val="24"/>
        </w:rPr>
        <w:t>he</w:t>
      </w:r>
      <w:r w:rsidR="00A85EAA">
        <w:rPr>
          <w:rFonts w:ascii="Times New Roman" w:eastAsia="Times New Roman" w:hAnsi="Times New Roman" w:cs="Times New Roman"/>
          <w:color w:val="000000"/>
          <w:sz w:val="24"/>
          <w:szCs w:val="24"/>
        </w:rPr>
        <w:t xml:space="preserve"> writer</w:t>
      </w:r>
      <w:r w:rsidRPr="00292D17">
        <w:rPr>
          <w:rFonts w:ascii="Times New Roman" w:eastAsia="Times New Roman" w:hAnsi="Times New Roman" w:cs="Times New Roman"/>
          <w:color w:val="000000"/>
          <w:sz w:val="24"/>
          <w:szCs w:val="24"/>
        </w:rPr>
        <w:t xml:space="preserve"> insisted </w:t>
      </w:r>
      <w:r w:rsidR="00A85EAA">
        <w:rPr>
          <w:rFonts w:ascii="Times New Roman" w:eastAsia="Times New Roman" w:hAnsi="Times New Roman" w:cs="Times New Roman"/>
          <w:color w:val="000000"/>
          <w:sz w:val="24"/>
          <w:szCs w:val="24"/>
        </w:rPr>
        <w:t>that</w:t>
      </w:r>
      <w:r w:rsidRPr="00292D17">
        <w:rPr>
          <w:rFonts w:ascii="Times New Roman" w:eastAsia="Times New Roman" w:hAnsi="Times New Roman" w:cs="Times New Roman"/>
          <w:color w:val="000000"/>
          <w:sz w:val="24"/>
          <w:szCs w:val="24"/>
        </w:rPr>
        <w:t xml:space="preserve"> a common way of approaching metacognition in students and also assessing their studying is through the self-assessment essays whereby the students articulate their weaknesses and strengths within a paper or throughout the semester by application of the course criteria. The main aim of these tests and essays is to be to gauge the learning ability and the ability to comprehend in students. He interestingly noted that to increase metacognition in students, they need to be taught on a specific concept a</w:t>
      </w:r>
      <w:r w:rsidR="007D3254">
        <w:rPr>
          <w:rFonts w:ascii="Times New Roman" w:eastAsia="Times New Roman" w:hAnsi="Times New Roman" w:cs="Times New Roman"/>
          <w:color w:val="000000"/>
          <w:sz w:val="24"/>
          <w:szCs w:val="24"/>
        </w:rPr>
        <w:t>n</w:t>
      </w:r>
      <w:r w:rsidRPr="00292D17">
        <w:rPr>
          <w:rFonts w:ascii="Times New Roman" w:eastAsia="Times New Roman" w:hAnsi="Times New Roman" w:cs="Times New Roman"/>
          <w:color w:val="000000"/>
          <w:sz w:val="24"/>
          <w:szCs w:val="24"/>
        </w:rPr>
        <w:t>d its respective language exhaustively. This, however, may not be in a form of the content delivery model but in a single lesson. Rather, the exhaustive instructions should be made according to knowledge construction criteria or student must understand, assess and be in a position to connect the old skills and the old ones. This process should, however, take place over a specified period of time. T</w:t>
      </w:r>
      <w:r w:rsidR="007D3254">
        <w:rPr>
          <w:rFonts w:ascii="Times New Roman" w:eastAsia="Times New Roman" w:hAnsi="Times New Roman" w:cs="Times New Roman"/>
          <w:color w:val="000000"/>
          <w:sz w:val="24"/>
          <w:szCs w:val="24"/>
        </w:rPr>
        <w:t>he author</w:t>
      </w:r>
      <w:r w:rsidRPr="00292D17">
        <w:rPr>
          <w:rFonts w:ascii="Times New Roman" w:eastAsia="Times New Roman" w:hAnsi="Times New Roman" w:cs="Times New Roman"/>
          <w:color w:val="000000"/>
          <w:sz w:val="24"/>
          <w:szCs w:val="24"/>
        </w:rPr>
        <w:t xml:space="preserve"> emphasizes that metacognition helps to increase the ability of students to transfer or adapting their learning to new tasks and contexts. The article also concludes that students, who are aware of their different learning and thinking strategies, are more likely to use them</w:t>
      </w:r>
      <w:r w:rsidR="006A1CC6">
        <w:rPr>
          <w:rFonts w:ascii="Times New Roman" w:eastAsia="Times New Roman" w:hAnsi="Times New Roman" w:cs="Times New Roman"/>
          <w:color w:val="000000"/>
          <w:sz w:val="24"/>
          <w:szCs w:val="24"/>
        </w:rPr>
        <w:t xml:space="preserve"> (</w:t>
      </w:r>
      <w:r w:rsidR="006A1CC6" w:rsidRPr="00292D17">
        <w:rPr>
          <w:rFonts w:ascii="Times New Roman" w:eastAsia="Times New Roman" w:hAnsi="Times New Roman" w:cs="Times New Roman"/>
          <w:color w:val="000000"/>
          <w:sz w:val="24"/>
          <w:szCs w:val="24"/>
        </w:rPr>
        <w:t>Tanner</w:t>
      </w:r>
      <w:r w:rsidR="006A1CC6">
        <w:rPr>
          <w:rFonts w:ascii="Times New Roman" w:eastAsia="Times New Roman" w:hAnsi="Times New Roman" w:cs="Times New Roman"/>
          <w:color w:val="000000"/>
          <w:sz w:val="24"/>
          <w:szCs w:val="24"/>
        </w:rPr>
        <w:t xml:space="preserve">, </w:t>
      </w:r>
      <w:bookmarkStart w:id="0" w:name="_GoBack"/>
      <w:bookmarkEnd w:id="0"/>
      <w:r w:rsidR="006A1CC6" w:rsidRPr="00292D17">
        <w:rPr>
          <w:rFonts w:ascii="Times New Roman" w:eastAsia="Times New Roman" w:hAnsi="Times New Roman" w:cs="Times New Roman"/>
          <w:color w:val="000000"/>
          <w:sz w:val="24"/>
          <w:szCs w:val="24"/>
        </w:rPr>
        <w:t>2012)</w:t>
      </w:r>
      <w:r w:rsidRPr="00292D17">
        <w:rPr>
          <w:rFonts w:ascii="Times New Roman" w:eastAsia="Times New Roman" w:hAnsi="Times New Roman" w:cs="Times New Roman"/>
          <w:color w:val="000000"/>
          <w:sz w:val="24"/>
          <w:szCs w:val="24"/>
        </w:rPr>
        <w:t>.</w:t>
      </w:r>
    </w:p>
    <w:p w14:paraId="7F490B6F" w14:textId="77DFC3A9" w:rsidR="009A784A" w:rsidRPr="00292D17" w:rsidRDefault="009A784A" w:rsidP="009A784A">
      <w:pPr>
        <w:spacing w:after="0" w:line="48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Reference</w:t>
      </w:r>
    </w:p>
    <w:p w14:paraId="65CE5C36" w14:textId="77777777" w:rsidR="009A784A" w:rsidRDefault="009A784A" w:rsidP="009A784A">
      <w:pPr>
        <w:spacing w:after="0" w:line="480" w:lineRule="auto"/>
        <w:ind w:left="720" w:hanging="720"/>
        <w:rPr>
          <w:rFonts w:ascii="Times New Roman" w:eastAsia="Times New Roman" w:hAnsi="Times New Roman" w:cs="Times New Roman"/>
          <w:color w:val="000000"/>
          <w:sz w:val="24"/>
          <w:szCs w:val="24"/>
        </w:rPr>
      </w:pPr>
      <w:r w:rsidRPr="00292D17">
        <w:rPr>
          <w:rFonts w:ascii="Times New Roman" w:eastAsia="Times New Roman" w:hAnsi="Times New Roman" w:cs="Times New Roman"/>
          <w:color w:val="000000"/>
          <w:sz w:val="24"/>
          <w:szCs w:val="24"/>
        </w:rPr>
        <w:t>Tanner, Kimberly D.  (2012). Promoting student metacognition. CBE—Life Sciences Education, 11, 113-120.</w:t>
      </w:r>
      <w:r>
        <w:rPr>
          <w:rFonts w:ascii="Times New Roman" w:eastAsia="Times New Roman" w:hAnsi="Times New Roman" w:cs="Times New Roman"/>
          <w:color w:val="000000"/>
          <w:sz w:val="24"/>
          <w:szCs w:val="24"/>
        </w:rPr>
        <w:t xml:space="preserve"> Retrieved from </w:t>
      </w:r>
      <w:hyperlink r:id="rId5" w:history="1">
        <w:r w:rsidRPr="00FC64B6">
          <w:rPr>
            <w:rStyle w:val="Hyperlink"/>
            <w:rFonts w:ascii="Times New Roman" w:eastAsia="Times New Roman" w:hAnsi="Times New Roman" w:cs="Times New Roman"/>
            <w:sz w:val="24"/>
            <w:szCs w:val="24"/>
          </w:rPr>
          <w:t>https://www.lifescied.org/doi/full/10.1187/cbe.12-03-0033</w:t>
        </w:r>
      </w:hyperlink>
    </w:p>
    <w:p w14:paraId="2C0CFC94" w14:textId="77777777" w:rsidR="00EF20A3" w:rsidRPr="009C5CD0" w:rsidRDefault="00EF20A3" w:rsidP="00292D17">
      <w:pPr>
        <w:ind w:firstLine="720"/>
        <w:rPr>
          <w:sz w:val="28"/>
          <w:szCs w:val="28"/>
        </w:rPr>
      </w:pPr>
    </w:p>
    <w:sectPr w:rsidR="00EF20A3" w:rsidRPr="009C5CD0" w:rsidSect="00EF20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F52C2"/>
    <w:multiLevelType w:val="multilevel"/>
    <w:tmpl w:val="53206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C5CD0"/>
    <w:rsid w:val="00102B9A"/>
    <w:rsid w:val="00175F7F"/>
    <w:rsid w:val="001B477C"/>
    <w:rsid w:val="00292D17"/>
    <w:rsid w:val="003476FF"/>
    <w:rsid w:val="006A1CC6"/>
    <w:rsid w:val="00727054"/>
    <w:rsid w:val="007C4E1B"/>
    <w:rsid w:val="007D3254"/>
    <w:rsid w:val="009A784A"/>
    <w:rsid w:val="009C5CD0"/>
    <w:rsid w:val="00A85EAA"/>
    <w:rsid w:val="00DE023F"/>
    <w:rsid w:val="00E116A0"/>
    <w:rsid w:val="00EF20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46FD2"/>
  <w15:docId w15:val="{A3C6A07C-DCB3-444C-BBD5-6BDD1CBE3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20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5F7F"/>
    <w:rPr>
      <w:color w:val="0000FF"/>
      <w:u w:val="single"/>
    </w:rPr>
  </w:style>
  <w:style w:type="character" w:styleId="Emphasis">
    <w:name w:val="Emphasis"/>
    <w:basedOn w:val="DefaultParagraphFont"/>
    <w:uiPriority w:val="20"/>
    <w:qFormat/>
    <w:rsid w:val="00175F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592102">
      <w:bodyDiv w:val="1"/>
      <w:marLeft w:val="0"/>
      <w:marRight w:val="0"/>
      <w:marTop w:val="0"/>
      <w:marBottom w:val="0"/>
      <w:divBdr>
        <w:top w:val="none" w:sz="0" w:space="0" w:color="auto"/>
        <w:left w:val="none" w:sz="0" w:space="0" w:color="auto"/>
        <w:bottom w:val="none" w:sz="0" w:space="0" w:color="auto"/>
        <w:right w:val="none" w:sz="0" w:space="0" w:color="auto"/>
      </w:divBdr>
    </w:div>
    <w:div w:id="143066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fescied.org/doi/full/10.1187/cbe.12-03-003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captain</cp:lastModifiedBy>
  <cp:revision>6</cp:revision>
  <dcterms:created xsi:type="dcterms:W3CDTF">2018-06-17T04:57:00Z</dcterms:created>
  <dcterms:modified xsi:type="dcterms:W3CDTF">2018-06-17T07:17:00Z</dcterms:modified>
</cp:coreProperties>
</file>